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c>
          <w:tcPr>
            <w:tcW w:type="dxa" w:w="9411"/>
            <w:tcBorders>
              <w:top w:val="none" w:color="FFFFFF" w:sz="0"/>
              <w:left w:val="single" w:color="FFCB24" w:sz="48"/>
              <w:bottom w:val="none" w:color="FFFFFF" w:sz="0"/>
              <w:right w:val="none" w:color="FFFFFF" w:sz="0"/>
            </w:tcBorders>
            <w:shd w:fill="13176D" w:color="auto" w:val="clear"/>
            <w:tcMar>
              <w:top w:type="dxa" w:w="420"/>
              <w:left w:type="dxa" w:w="520"/>
              <w:bottom w:type="dxa" w:w="460"/>
              <w:right w:type="dxa" w:w="420"/>
            </w:tcMar>
          </w:tcPr>
          <w:tbl>
            <w:tblPr>
              <w:tblW w:type="dxa" w:w="847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83"/>
              <w:gridCol w:w="3388"/>
            </w:tblGrid>
            <w:tr>
              <w:tc>
                <w:tcPr>
                  <w:tcW w:type="dxa" w:w="5083"/>
                  <w:tcBorders>
                    <w:top w:val="none" w:color="FFFFFF" w:sz="0"/>
                    <w:left w:val="none" w:color="FFFFFF" w:sz="0"/>
                    <w:bottom w:val="none" w:color="FFFFFF" w:sz="0"/>
                    <w:right w:val="none" w:color="FFFFFF" w:sz="0"/>
                  </w:tcBorders>
                  <w:vAlign w:val="top"/>
                </w:tcPr>
                <w:p>
                  <w:r>
                    <w:drawing>
                      <wp:inline distT="0" distB="0" distL="0" distR="0">
                        <wp:extent cx="1228725"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228725" cy="428625"/>
                                </a:xfrm>
                                <a:prstGeom prst="rect">
                                  <a:avLst/>
                                </a:prstGeom>
                              </pic:spPr>
                            </pic:pic>
                          </a:graphicData>
                        </a:graphic>
                      </wp:inline>
                    </w:drawing>
                  </w:r>
                </w:p>
              </w:tc>
              <w:tc>
                <w:tcPr>
                  <w:tcW w:type="dxa" w:w="3388"/>
                  <w:tcBorders>
                    <w:top w:val="none" w:color="FFFFFF" w:sz="0"/>
                    <w:left w:val="none" w:color="FFFFFF" w:sz="0"/>
                    <w:bottom w:val="none" w:color="FFFFFF" w:sz="0"/>
                    <w:right w:val="none" w:color="FFFFFF" w:sz="0"/>
                  </w:tcBorders>
                </w:tcPr>
                <w:p>
                  <w:pPr>
                    <w:jc w:val="right"/>
                  </w:pPr>
                  <w:r>
                    <w:drawing>
                      <wp:inline distT="0" distB="0" distL="0" distR="0">
                        <wp:extent cx="1333500" cy="742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333500" cy="742950"/>
                                </a:xfrm>
                                <a:prstGeom prst="rect">
                                  <a:avLst/>
                                </a:prstGeom>
                              </pic:spPr>
                            </pic:pic>
                          </a:graphicData>
                        </a:graphic>
                      </wp:inline>
                    </w:drawing>
                  </w:r>
                </w:p>
              </w:tc>
            </w:tr>
          </w:tbl>
          <w:p>
            <w:pPr>
              <w:spacing w:after="80" w:before="480"/>
            </w:pPr>
            <w:r>
              <w:rPr>
                <w:rFonts w:ascii="Noto Sans" w:cs="Noto Sans" w:eastAsia="Noto Sans" w:hAnsi="Noto Sans"/>
                <w:b/>
                <w:bCs/>
                <w:caps/>
                <w:color w:val="FFCB24"/>
                <w:spacing w:val="30"/>
                <w:sz w:val="15"/>
                <w:szCs w:val="15"/>
              </w:rPr>
              <w:t xml:space="preserve">Especial de Mayordomía</w:t>
            </w:r>
            <w:r>
              <w:rPr>
                <w:rFonts w:ascii="Noto Sans" w:cs="Noto Sans" w:eastAsia="Noto Sans" w:hAnsi="Noto Sans"/>
                <w:color w:val="1E2033"/>
                <w:sz w:val="21"/>
                <w:szCs w:val="21"/>
              </w:rPr>
              <w:t xml:space="preserve">     </w:t>
            </w:r>
            <w:r>
              <w:rPr>
                <w:rFonts w:ascii="Noto Sans" w:cs="Noto Sans" w:eastAsia="Noto Sans" w:hAnsi="Noto Sans"/>
                <w:b w:val="false"/>
                <w:bCs w:val="false"/>
                <w:caps/>
                <w:color w:val="C9CBE8"/>
                <w:spacing w:val="30"/>
                <w:sz w:val="15"/>
                <w:szCs w:val="15"/>
              </w:rPr>
              <w:t xml:space="preserve">Las 4 T  ·  01 Tiempo</w:t>
            </w:r>
          </w:p>
          <w:p>
            <w:pPr>
              <w:spacing w:after="40" w:line="800"/>
            </w:pPr>
            <w:r>
              <w:rPr>
                <w:rFonts w:ascii="Alegreya Sans" w:cs="Alegreya Sans" w:eastAsia="Alegreya Sans" w:hAnsi="Alegreya Sans"/>
                <w:b/>
                <w:bCs/>
                <w:color w:val="FFFFFF"/>
                <w:sz w:val="72"/>
                <w:szCs w:val="72"/>
              </w:rPr>
              <w:t xml:space="preserve">La mayordomía del tiempo</w:t>
            </w:r>
          </w:p>
          <w:p>
            <w:pPr>
              <w:spacing w:after="300"/>
            </w:pPr>
            <w:r>
              <w:rPr>
                <w:rFonts w:ascii="Alegreya Sans" w:cs="Alegreya Sans" w:eastAsia="Alegreya Sans" w:hAnsi="Alegreya Sans"/>
                <w:color w:val="DCE0F5"/>
                <w:sz w:val="32"/>
                <w:szCs w:val="32"/>
              </w:rPr>
              <w:t xml:space="preserve">Todo tiene su tiempo</w:t>
            </w:r>
          </w:p>
          <w:p>
            <w:r>
              <w:rPr>
                <w:rFonts w:ascii="Noto Sans" w:cs="Noto Sans" w:eastAsia="Noto Sans" w:hAnsi="Noto Sans"/>
                <w:b/>
                <w:bCs/>
                <w:color w:val="FFFFFF"/>
                <w:sz w:val="18"/>
                <w:szCs w:val="18"/>
              </w:rPr>
              <w:t xml:space="preserve">Pr. Daniel Contreras</w:t>
            </w:r>
            <w:r>
              <w:rPr>
                <w:rFonts w:ascii="Noto Sans" w:cs="Noto Sans" w:eastAsia="Noto Sans" w:hAnsi="Noto Sans"/>
                <w:color w:val="C9CBE8"/>
                <w:sz w:val="18"/>
                <w:szCs w:val="18"/>
              </w:rPr>
              <w:t xml:space="preserve">   ·   Secretario de la Comisión de Finanzas de la Conferencia General</w:t>
            </w:r>
          </w:p>
        </w:tc>
      </w:tr>
    </w:tbl>
    <w:p>
      <w:pPr>
        <w:spacing w:after="280" w:line="120"/>
      </w:pPr>
      <w:r>
        <w:rPr>
          <w:rFonts w:ascii="Noto Sans" w:cs="Noto Sans" w:eastAsia="Noto Sans" w:hAnsi="Noto Sans"/>
          <w:color w:val="1E2033"/>
          <w:sz w:val="21"/>
          <w:szCs w:val="21"/>
        </w:rPr>
        <w:t xml:space="preserve"/>
      </w:r>
    </w:p>
    <w:p>
      <w:pPr>
        <w:keepNext/>
        <w:keepLines/>
        <w:pBdr>
          <w:left w:val="single" w:color="FFCB24" w:sz="18" w:space="10"/>
        </w:pBdr>
        <w:spacing w:after="60" w:before="120" w:line="380"/>
        <w:ind w:left="283"/>
      </w:pPr>
      <w:r>
        <w:rPr>
          <w:rFonts w:ascii="Alegreya Sans" w:cs="Alegreya Sans" w:eastAsia="Alegreya Sans" w:hAnsi="Alegreya Sans"/>
          <w:i/>
          <w:iCs/>
          <w:color w:val="13176D"/>
          <w:sz w:val="26"/>
          <w:szCs w:val="26"/>
        </w:rPr>
        <w:t xml:space="preserve">“Todo tiene su tiempo, y todo lo que se quiere debajo del cielo tiene su hora.”</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Eclesiastés 3:1</w:t>
      </w:r>
    </w:p>
    <w:tbl>
      <w:tblPr>
        <w:tblW w:type="dxa" w:w="9411"/>
        <w:tblBorders>
          <w:top w:val="single" w:color="FFCB24" w:sz="6"/>
          <w:left w:val="none" w:color="FFFFFF" w:sz="0"/>
          <w:bottom w:val="single" w:color="DCE3EA" w:sz="4"/>
          <w:right w:val="none" w:color="FFFFFF" w:sz="0"/>
          <w:insideH w:val="none" w:color="FFFFFF" w:sz="0"/>
          <w:insideV w:val="none" w:color="FFFFFF" w:sz="0"/>
        </w:tblBorders>
        <w:tblLayout w:type="fixed"/>
      </w:tblPr>
      <w:tblGrid>
        <w:gridCol w:w="4706"/>
        <w:gridCol w:w="4705"/>
      </w:tblGrid>
      <w:tr>
        <w:tc>
          <w:tcPr>
            <w:tcW w:type="dxa" w:w="9411"/>
            <w:gridSpan w:val="2"/>
            <w:tcBorders>
              <w:top w:val="none" w:color="FFFFFF" w:sz="0"/>
              <w:left w:val="none" w:color="FFFFFF" w:sz="0"/>
              <w:bottom w:val="none" w:color="FFFFFF" w:sz="0"/>
              <w:right w:val="none" w:color="FFFFFF" w:sz="0"/>
            </w:tcBorders>
            <w:tcMar>
              <w:top w:type="dxa" w:w="160"/>
              <w:left w:type="dxa" w:w="0"/>
              <w:bottom w:type="dxa" w:w="60"/>
              <w:right w:type="dxa" w:w="0"/>
            </w:tcMar>
          </w:tcPr>
          <w:p>
            <w:r>
              <w:rPr>
                <w:rFonts w:ascii="Noto Sans" w:cs="Noto Sans" w:eastAsia="Noto Sans" w:hAnsi="Noto Sans"/>
                <w:b/>
                <w:bCs/>
                <w:caps/>
                <w:color w:val="13176D"/>
                <w:spacing w:val="30"/>
                <w:sz w:val="15"/>
                <w:szCs w:val="15"/>
              </w:rPr>
              <w:t xml:space="preserve">Estructura del mensaje</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01</w:t>
            </w:r>
            <w:r>
              <w:rPr>
                <w:rFonts w:ascii="Noto Sans" w:cs="Noto Sans" w:eastAsia="Noto Sans" w:hAnsi="Noto Sans"/>
                <w:color w:val="13176D"/>
                <w:sz w:val="18"/>
                <w:szCs w:val="18"/>
              </w:rPr>
              <w:t xml:space="preserve">	El valor del tiempo en nuestra vida diaria</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06</w:t>
            </w:r>
            <w:r>
              <w:rPr>
                <w:rFonts w:ascii="Noto Sans" w:cs="Noto Sans" w:eastAsia="Noto Sans" w:hAnsi="Noto Sans"/>
                <w:color w:val="13176D"/>
                <w:sz w:val="18"/>
                <w:szCs w:val="18"/>
              </w:rPr>
              <w:t xml:space="preserve">	Advertencias de las Escrituras</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02</w:t>
            </w:r>
            <w:r>
              <w:rPr>
                <w:rFonts w:ascii="Noto Sans" w:cs="Noto Sans" w:eastAsia="Noto Sans" w:hAnsi="Noto Sans"/>
                <w:color w:val="13176D"/>
                <w:sz w:val="18"/>
                <w:szCs w:val="18"/>
              </w:rPr>
              <w:t xml:space="preserve">	Cuidado con el mal uso del tiempo</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07</w:t>
            </w:r>
            <w:r>
              <w:rPr>
                <w:rFonts w:ascii="Noto Sans" w:cs="Noto Sans" w:eastAsia="Noto Sans" w:hAnsi="Noto Sans"/>
                <w:color w:val="13176D"/>
                <w:sz w:val="18"/>
                <w:szCs w:val="18"/>
              </w:rPr>
              <w:t xml:space="preserve">	Daremos cuenta del tiempo vivido</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03</w:t>
            </w:r>
            <w:r>
              <w:rPr>
                <w:rFonts w:ascii="Noto Sans" w:cs="Noto Sans" w:eastAsia="Noto Sans" w:hAnsi="Noto Sans"/>
                <w:color w:val="13176D"/>
                <w:sz w:val="18"/>
                <w:szCs w:val="18"/>
              </w:rPr>
              <w:t xml:space="preserve">	Los beneficios de usar bien el tiempo</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08</w:t>
            </w:r>
            <w:r>
              <w:rPr>
                <w:rFonts w:ascii="Noto Sans" w:cs="Noto Sans" w:eastAsia="Noto Sans" w:hAnsi="Noto Sans"/>
                <w:color w:val="13176D"/>
                <w:sz w:val="18"/>
                <w:szCs w:val="18"/>
              </w:rPr>
              <w:t xml:space="preserve">	Hora de avanzar</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04</w:t>
            </w:r>
            <w:r>
              <w:rPr>
                <w:rFonts w:ascii="Noto Sans" w:cs="Noto Sans" w:eastAsia="Noto Sans" w:hAnsi="Noto Sans"/>
                <w:color w:val="13176D"/>
                <w:sz w:val="18"/>
                <w:szCs w:val="18"/>
              </w:rPr>
              <w:t xml:space="preserve">	El valor del tiempo en nuestra relación con Dios</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w:t>
            </w:r>
            <w:r>
              <w:rPr>
                <w:rFonts w:ascii="Noto Sans" w:cs="Noto Sans" w:eastAsia="Noto Sans" w:hAnsi="Noto Sans"/>
                <w:color w:val="13176D"/>
                <w:sz w:val="18"/>
                <w:szCs w:val="18"/>
              </w:rPr>
              <w:t xml:space="preserve">	Conclusión y llamado</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05</w:t>
            </w:r>
            <w:r>
              <w:rPr>
                <w:rFonts w:ascii="Noto Sans" w:cs="Noto Sans" w:eastAsia="Noto Sans" w:hAnsi="Noto Sans"/>
                <w:color w:val="13176D"/>
                <w:sz w:val="18"/>
                <w:szCs w:val="18"/>
              </w:rPr>
              <w:t xml:space="preserve">	Hagamos cuentas</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color w:val="1E2033"/>
                <w:sz w:val="21"/>
                <w:szCs w:val="21"/>
              </w:rPr>
              <w:t xml:space="preserve"/>
            </w:r>
          </w:p>
        </w:tc>
      </w:tr>
      <w:tr>
        <w:tc>
          <w:tcPr>
            <w:tcW w:type="dxa" w:w="9411"/>
            <w:gridSpan w:val="2"/>
            <w:tcBorders>
              <w:top w:val="none" w:color="FFFFFF" w:sz="0"/>
              <w:left w:val="none" w:color="FFFFFF" w:sz="0"/>
              <w:bottom w:val="none" w:color="FFFFFF" w:sz="0"/>
              <w:right w:val="none" w:color="FFFFFF" w:sz="0"/>
            </w:tcBorders>
          </w:tcPr>
          <w:p>
            <w:pPr>
              <w:spacing w:after="60" w:line="120"/>
            </w:pPr>
            <w:r>
              <w:rPr>
                <w:rFonts w:ascii="Noto Sans" w:cs="Noto Sans" w:eastAsia="Noto Sans" w:hAnsi="Noto Sans"/>
                <w:color w:val="1E2033"/>
                <w:sz w:val="21"/>
                <w:szCs w:val="21"/>
              </w:rPr>
              <w:t xml:space="preserve"/>
            </w:r>
          </w:p>
        </w:tc>
      </w:tr>
    </w:tbl>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01</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El valor del tiempo en nuestra vida diaria</w:t>
      </w:r>
    </w:p>
    <w:p>
      <w:pPr>
        <w:spacing w:after="160" w:line="348"/>
      </w:pPr>
      <w:r>
        <w:rPr>
          <w:rFonts w:ascii="Noto Sans" w:cs="Noto Sans" w:eastAsia="Noto Sans" w:hAnsi="Noto Sans"/>
          <w:color w:val="1E2033"/>
          <w:sz w:val="21"/>
          <w:szCs w:val="21"/>
        </w:rPr>
        <w:t xml:space="preserve">La Biblia resalta la importancia de gestionar bien el tiempo.</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“Enséñanos de tal modo a contar nuestros días, que traigamos al corazón sabiduría.”</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Salmos 90:12</w:t>
      </w:r>
    </w:p>
    <w:p>
      <w:pPr>
        <w:spacing w:after="160" w:line="348"/>
      </w:pPr>
      <w:r>
        <w:rPr>
          <w:rFonts w:ascii="Noto Sans" w:cs="Noto Sans" w:eastAsia="Noto Sans" w:hAnsi="Noto Sans"/>
          <w:color w:val="1E2033"/>
          <w:sz w:val="21"/>
          <w:szCs w:val="21"/>
        </w:rPr>
        <w:t xml:space="preserve">¿Qué es el tiempo y para qué sirve? El tiempo es una magnitud física que se usa para medir la duración o la separación de los acontecimientos, permitiendo ordenarlos en pasado, presente y futuro. Sirve para la organización de las actividades cotidianas y la comprensión de la historia de forma exacta.</w:t>
      </w:r>
    </w:p>
    <w:p>
      <w:pPr>
        <w:spacing w:after="160" w:line="348"/>
      </w:pPr>
      <w:r>
        <w:rPr>
          <w:rFonts w:ascii="Noto Sans" w:cs="Noto Sans" w:eastAsia="Noto Sans" w:hAnsi="Noto Sans"/>
          <w:color w:val="1E2033"/>
          <w:sz w:val="21"/>
          <w:szCs w:val="21"/>
        </w:rPr>
        <w:t xml:space="preserve">¿Por qué es tan importante?</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Define nuestras prioridades</w:t>
      </w:r>
      <w:r>
        <w:rPr>
          <w:rFonts w:ascii="Noto Sans" w:cs="Noto Sans" w:eastAsia="Noto Sans" w:hAnsi="Noto Sans"/>
          <w:color w:val="1E2033"/>
          <w:sz w:val="21"/>
          <w:szCs w:val="21"/>
        </w:rPr>
        <w:t xml:space="preserve"> — en qué gastamos el tiempo demuestra lo que de verdad nos importa; el famoso «no tengo tiempo» muchas veces significa «no es mi prioridad».</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Da paz mental</w:t>
      </w:r>
      <w:r>
        <w:rPr>
          <w:rFonts w:ascii="Noto Sans" w:cs="Noto Sans" w:eastAsia="Noto Sans" w:hAnsi="Noto Sans"/>
          <w:color w:val="1E2033"/>
          <w:sz w:val="21"/>
          <w:szCs w:val="21"/>
        </w:rPr>
        <w:t xml:space="preserve"> — saber organizar el día ayuda a reducir el estrés, cumplir metas personales y encontrar un balance sano entre el trabajo, el descanso, las relaciones con los demás y nuestra relación con Dios.</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02</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Cuidado con el mal uso del tiempo</w:t>
      </w:r>
    </w:p>
    <w:p>
      <w:pPr>
        <w:spacing w:after="160" w:line="348"/>
      </w:pPr>
      <w:r>
        <w:rPr>
          <w:rFonts w:ascii="Noto Sans" w:cs="Noto Sans" w:eastAsia="Noto Sans" w:hAnsi="Noto Sans"/>
          <w:color w:val="1E2033"/>
          <w:sz w:val="21"/>
          <w:szCs w:val="21"/>
        </w:rPr>
        <w:t xml:space="preserve">El desperdicio del tiempo se convierte en un obstáculo insuperable entre nosotros y nuestro deseo de realizar cosas importantes. Especialmente debemos tener cuidado con el ocio. Probablemente sea allí donde se produce el mayor despilfarro.</w:t>
      </w:r>
    </w:p>
    <w:p>
      <w:pPr>
        <w:spacing w:after="160" w:line="348"/>
      </w:pPr>
      <w:r>
        <w:rPr>
          <w:rFonts w:ascii="Noto Sans" w:cs="Noto Sans" w:eastAsia="Noto Sans" w:hAnsi="Noto Sans"/>
          <w:color w:val="1E2033"/>
          <w:sz w:val="21"/>
          <w:szCs w:val="21"/>
        </w:rPr>
        <w:t xml:space="preserve">Varias investigaciones han encontrado que las actividades que la mayoría de las personas prefieren para relajarse —televisión, navegar en la web, redes sociales—, es decir, aquellas donde consumimos pasivamente contenido digital, son las que menos nos renuevan para afrontar la siguiente jornada.</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03</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Los beneficios de usar bien el tiempo</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Menos estrés</w:t>
      </w:r>
      <w:r>
        <w:rPr>
          <w:rFonts w:ascii="Noto Sans" w:cs="Noto Sans" w:eastAsia="Noto Sans" w:hAnsi="Noto Sans"/>
          <w:color w:val="1E2033"/>
          <w:sz w:val="21"/>
          <w:szCs w:val="21"/>
        </w:rPr>
        <w:t xml:space="preserve"> — al planificar tus tareas y saber qué hacer en cada momento, evitas las presiones y la ansiedad de última hora.</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Mayor productividad</w:t>
      </w:r>
      <w:r>
        <w:rPr>
          <w:rFonts w:ascii="Noto Sans" w:cs="Noto Sans" w:eastAsia="Noto Sans" w:hAnsi="Noto Sans"/>
          <w:color w:val="1E2033"/>
          <w:sz w:val="21"/>
          <w:szCs w:val="21"/>
        </w:rPr>
        <w:t xml:space="preserve"> — te ayuda a hacer más cosas en menos tiempo, reduciendo la procrastinación y enfocándote en lo verdaderamente importante.</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Mejor equilibrio de vida</w:t>
      </w:r>
      <w:r>
        <w:rPr>
          <w:rFonts w:ascii="Noto Sans" w:cs="Noto Sans" w:eastAsia="Noto Sans" w:hAnsi="Noto Sans"/>
          <w:color w:val="1E2033"/>
          <w:sz w:val="21"/>
          <w:szCs w:val="21"/>
        </w:rPr>
        <w:t xml:space="preserve"> — te deja espacio libre para el descanso, la recreación y compartir momentos de calidad con tu familia y amigos.</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Mejor concentración</w:t>
      </w:r>
      <w:r>
        <w:rPr>
          <w:rFonts w:ascii="Noto Sans" w:cs="Noto Sans" w:eastAsia="Noto Sans" w:hAnsi="Noto Sans"/>
          <w:color w:val="1E2033"/>
          <w:sz w:val="21"/>
          <w:szCs w:val="21"/>
        </w:rPr>
        <w:t xml:space="preserve"> — al eliminar distracciones y organizar el trabajo en bloques, tu capacidad de atención mejora notablemente.</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Fomenta la disciplina</w:t>
      </w:r>
      <w:r>
        <w:rPr>
          <w:rFonts w:ascii="Noto Sans" w:cs="Noto Sans" w:eastAsia="Noto Sans" w:hAnsi="Noto Sans"/>
          <w:color w:val="1E2033"/>
          <w:sz w:val="21"/>
          <w:szCs w:val="21"/>
        </w:rPr>
        <w:t xml:space="preserve"> — ayuda a establecer metas claras, cumplir con los plazos establecidos y mejorar la puntualidad.</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04</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El valor del tiempo en nuestra relación con Dios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“Cuando no sabéis lo que será mañana. Porque ¿qué es vuestra vida? Ciertamente es neblina que se aparece por un poco de tiempo, y luego se desvanece.”</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Santiago 4:14</w:t>
      </w:r>
    </w:p>
    <w:p>
      <w:pPr>
        <w:spacing w:after="160" w:line="348"/>
      </w:pPr>
      <w:r>
        <w:rPr>
          <w:rFonts w:ascii="Noto Sans" w:cs="Noto Sans" w:eastAsia="Noto Sans" w:hAnsi="Noto Sans"/>
          <w:color w:val="1E2033"/>
          <w:sz w:val="21"/>
          <w:szCs w:val="21"/>
        </w:rPr>
        <w:t xml:space="preserve">Entre todos los regalos que Dios ha concedido al ser humano, hay uno que muchas veces pasa desapercibido, pero que tiene un valor incalculable: el tiempo.</w:t>
      </w:r>
    </w:p>
    <w:p>
      <w:pPr>
        <w:spacing w:after="160" w:line="348"/>
      </w:pPr>
      <w:r>
        <w:rPr>
          <w:rFonts w:ascii="Noto Sans" w:cs="Noto Sans" w:eastAsia="Noto Sans" w:hAnsi="Noto Sans"/>
          <w:color w:val="1E2033"/>
          <w:sz w:val="21"/>
          <w:szCs w:val="21"/>
        </w:rPr>
        <w:t xml:space="preserve">Podemos perder dinero y recuperarlo; podemos perder bienes materiales y volver a adquirirlos; podemos incluso recuperar la salud después de una enfermedad. Sin embargo, hay algo que jamás podremos recuperar: el tiempo que ya hemos vivido.</w:t>
      </w:r>
    </w:p>
    <w:p>
      <w:pPr>
        <w:pBdr>
          <w:top w:val="single" w:color="FFCB24" w:sz="6" w:space="10"/>
          <w:bottom w:val="single" w:color="FFCB24" w:sz="6" w:space="10"/>
        </w:pBdr>
        <w:spacing w:after="240" w:before="200" w:line="380"/>
        <w:ind w:left="566" w:right="566"/>
        <w:jc w:val="center"/>
      </w:pPr>
      <w:r>
        <w:rPr>
          <w:rFonts w:ascii="Alegreya Sans" w:cs="Alegreya Sans" w:eastAsia="Alegreya Sans" w:hAnsi="Alegreya Sans"/>
          <w:b/>
          <w:bCs/>
          <w:color w:val="13176D"/>
          <w:sz w:val="30"/>
          <w:szCs w:val="30"/>
        </w:rPr>
        <w:t xml:space="preserve">Se dice que el tiempo vale oro, pero este adagio se queda corto: el tiempo realmente es vida.</w:t>
      </w:r>
    </w:p>
    <w:p>
      <w:pPr>
        <w:spacing w:after="160" w:line="348"/>
      </w:pPr>
      <w:r>
        <w:rPr>
          <w:rFonts w:ascii="Noto Sans" w:cs="Noto Sans" w:eastAsia="Noto Sans" w:hAnsi="Noto Sans"/>
          <w:color w:val="1E2033"/>
          <w:sz w:val="21"/>
          <w:szCs w:val="21"/>
        </w:rPr>
        <w:t xml:space="preserve">Hagamos un duro análisis del siguiente versículo.</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“Los días de nuestra edad son setenta años; y si en los más robustos son ochenta años, con todo, su fortaleza es molestia y trabajo, porque pronto pasan, y volamos.”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Salmos 90:10</w:t>
      </w:r>
    </w:p>
    <w:p>
      <w:pPr>
        <w:spacing w:after="160" w:line="348"/>
      </w:pPr>
      <w:r>
        <w:rPr>
          <w:rFonts w:ascii="Noto Sans" w:cs="Noto Sans" w:eastAsia="Noto Sans" w:hAnsi="Noto Sans"/>
          <w:color w:val="1E2033"/>
          <w:sz w:val="21"/>
          <w:szCs w:val="21"/>
        </w:rPr>
        <w:t xml:space="preserve">Datos de promedio de vida en el mundo, según la agencia de noticias EFE:</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Promedio mundial de vida</w:t>
      </w:r>
      <w:r>
        <w:rPr>
          <w:rFonts w:ascii="Noto Sans" w:cs="Noto Sans" w:eastAsia="Noto Sans" w:hAnsi="Noto Sans"/>
          <w:color w:val="1E2033"/>
          <w:sz w:val="21"/>
          <w:szCs w:val="21"/>
        </w:rPr>
        <w:t xml:space="preserve"> — 73,3 años.</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Esperanza de vida saludable</w:t>
      </w:r>
      <w:r>
        <w:rPr>
          <w:rFonts w:ascii="Noto Sans" w:cs="Noto Sans" w:eastAsia="Noto Sans" w:hAnsi="Noto Sans"/>
          <w:color w:val="1E2033"/>
          <w:sz w:val="21"/>
          <w:szCs w:val="21"/>
        </w:rPr>
        <w:t xml:space="preserve"> — 62,8 años (el tiempo estimado que se vive en buena salud).</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Diferencia por sexo</w:t>
      </w:r>
      <w:r>
        <w:rPr>
          <w:rFonts w:ascii="Noto Sans" w:cs="Noto Sans" w:eastAsia="Noto Sans" w:hAnsi="Noto Sans"/>
          <w:color w:val="1E2033"/>
          <w:sz w:val="21"/>
          <w:szCs w:val="21"/>
        </w:rPr>
        <w:t xml:space="preserve"> — las mujeres suelen vivir más que los hombres: aproximadamente 76,4 años frente a 71,2, según estimaciones demográficas.</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05</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Hagamos cuentas</w:t>
      </w:r>
    </w:p>
    <w:p>
      <w:pPr>
        <w:spacing w:after="160" w:line="348"/>
      </w:pPr>
      <w:r>
        <w:rPr>
          <w:rFonts w:ascii="Noto Sans" w:cs="Noto Sans" w:eastAsia="Noto Sans" w:hAnsi="Noto Sans"/>
          <w:color w:val="1E2033"/>
          <w:sz w:val="21"/>
          <w:szCs w:val="21"/>
        </w:rPr>
        <w:t xml:space="preserve">Si el promedio de nuestra vida es 70 años, réstale tu edad actual y divide el análisis en dos direcciones:</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El pasado</w:t>
      </w:r>
      <w:r>
        <w:rPr>
          <w:rFonts w:ascii="Noto Sans" w:cs="Noto Sans" w:eastAsia="Noto Sans" w:hAnsi="Noto Sans"/>
          <w:color w:val="1E2033"/>
          <w:sz w:val="21"/>
          <w:szCs w:val="21"/>
        </w:rPr>
        <w:t xml:space="preserve"> — ¿has aprovechado de la mejor manera el tiempo que has vivido? ¿Lo has disfrutado a la luz de lo que se menciona en Eclesiastés 11:9?</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El futuro</w:t>
      </w:r>
      <w:r>
        <w:rPr>
          <w:rFonts w:ascii="Noto Sans" w:cs="Noto Sans" w:eastAsia="Noto Sans" w:hAnsi="Noto Sans"/>
          <w:color w:val="1E2033"/>
          <w:sz w:val="21"/>
          <w:szCs w:val="21"/>
        </w:rPr>
        <w:t xml:space="preserve"> — según el resultado de la resta anterior, ¿cuánto tiempo te queda de vida? ¿Qué oportunidades quieres aprovechar antes de que se acabe tu tiempo?</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single" w:color="FFCB24" w:sz="12"/>
              <w:left w:val="none" w:color="FFFFFF" w:sz="0"/>
              <w:bottom w:val="single" w:color="FFCB24" w:sz="12"/>
              <w:right w:val="none" w:color="FFFFFF" w:sz="0"/>
            </w:tcBorders>
            <w:tcMar>
              <w:top w:type="dxa" w:w="300"/>
              <w:left w:type="dxa" w:w="400"/>
              <w:bottom w:type="dxa" w:w="300"/>
              <w:right w:type="dxa" w:w="400"/>
            </w:tcMar>
          </w:tcPr>
          <w:p>
            <w:pPr>
              <w:spacing w:after="100"/>
            </w:pPr>
            <w:r>
              <w:rPr>
                <w:rFonts w:ascii="Noto Sans" w:cs="Noto Sans" w:eastAsia="Noto Sans" w:hAnsi="Noto Sans"/>
                <w:b/>
                <w:bCs/>
                <w:caps/>
                <w:color w:val="13176D"/>
                <w:spacing w:val="30"/>
                <w:sz w:val="15"/>
                <w:szCs w:val="15"/>
              </w:rPr>
              <w:t xml:space="preserve">Para pensar</w:t>
            </w:r>
          </w:p>
          <w:p>
            <w:pPr>
              <w:spacing w:line="380"/>
            </w:pPr>
            <w:r>
              <w:rPr>
                <w:rFonts w:ascii="Alegreya Sans" w:cs="Alegreya Sans" w:eastAsia="Alegreya Sans" w:hAnsi="Alegreya Sans"/>
                <w:b/>
                <w:bCs/>
                <w:color w:val="13176D"/>
                <w:sz w:val="30"/>
                <w:szCs w:val="30"/>
              </w:rPr>
              <w:t xml:space="preserve">“El tiempo es la cosa más valiosa que una persona puede gastar.” — Teofrasto (371–287 a. C.)</w:t>
            </w:r>
          </w:p>
        </w:tc>
      </w:tr>
    </w:tbl>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06</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Advertencias que encontramos en las Escrituras</w:t>
      </w:r>
    </w:p>
    <w:p>
      <w:pPr>
        <w:keepNext/>
        <w:keepLines/>
        <w:spacing w:after="40" w:before="160"/>
      </w:pPr>
      <w:r>
        <w:rPr>
          <w:rFonts w:ascii="Noto Sans" w:cs="Noto Sans" w:eastAsia="Noto Sans" w:hAnsi="Noto Sans"/>
          <w:b/>
          <w:bCs/>
          <w:color w:val="13176D"/>
          <w:sz w:val="21"/>
          <w:szCs w:val="21"/>
        </w:rPr>
        <w:t xml:space="preserve">Advertencia #1</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“Mirad, pues, con diligencia cómo andéis, no como necios sino como sabios, aprovechando bien el tiempo, porque los días son malos. Por tanto, no seáis insensatos, sino entendidos de cuál sea la voluntad del Señor.”</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Efesios 5:15-17</w:t>
      </w:r>
    </w:p>
    <w:p>
      <w:pPr>
        <w:keepNext/>
        <w:keepLines/>
        <w:spacing w:after="40" w:before="160"/>
      </w:pPr>
      <w:r>
        <w:rPr>
          <w:rFonts w:ascii="Noto Sans" w:cs="Noto Sans" w:eastAsia="Noto Sans" w:hAnsi="Noto Sans"/>
          <w:b/>
          <w:bCs/>
          <w:color w:val="13176D"/>
          <w:sz w:val="21"/>
          <w:szCs w:val="21"/>
        </w:rPr>
        <w:t xml:space="preserve">Advertencia #2</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“He aquí, diste a mis días término corto, y mi edad es como nada delante de ti; ciertamente es completa vanidad todo hombre que vive. Selah. Ciertamente como una sombra es el hombre; ciertamente en vano se afana; amontona riquezas, y no sabe quién las recogerá.”</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Salmos 39:5-6</w:t>
      </w:r>
    </w:p>
    <w:p>
      <w:pPr>
        <w:keepNext/>
        <w:keepLines/>
        <w:spacing w:after="40" w:before="160"/>
      </w:pPr>
      <w:r>
        <w:rPr>
          <w:rFonts w:ascii="Noto Sans" w:cs="Noto Sans" w:eastAsia="Noto Sans" w:hAnsi="Noto Sans"/>
          <w:b/>
          <w:bCs/>
          <w:color w:val="13176D"/>
          <w:sz w:val="21"/>
          <w:szCs w:val="21"/>
        </w:rPr>
        <w:t xml:space="preserve">Advertencia #3</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“El Señor no retarda su promesa, según algunos la tienen por tardanza, sino que es paciente para con nosotros, no queriendo que ninguno perezca, sino que todos procedan al arrepentimiento. Pero el día del Señor vendrá como ladrón en la noche; en el cual los cielos pasarán con grande estruendo, y los elementos ardiendo serán deshechos, y la tierra y las obras que en ella hay serán quemadas. Puesto que todas estas cosas han de ser deshechas, ¡cómo no debéis vosotros andar en santa y piadosa manera de vivir, esperando y apresurándoos para la venida del día de Dios, en el cual los cielos, encendiéndose, serán deshechos, y los elementos, siendo quemados, se fundirán!”</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2 Pedro 3:9-12</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07</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Daremos cuenta del tiempo vivido</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“El don del tiempo es precioso. Cada día nos es dado en depósito, y seremos demandados para dar cuenta de él ante Dios.”</w:t>
            </w:r>
          </w:p>
          <w:p>
            <w:r>
              <w:rPr>
                <w:rFonts w:ascii="Noto Sans" w:cs="Noto Sans" w:eastAsia="Noto Sans" w:hAnsi="Noto Sans"/>
                <w:b/>
                <w:bCs/>
                <w:caps/>
                <w:color w:val="13176D"/>
                <w:spacing w:val="30"/>
                <w:sz w:val="14"/>
                <w:szCs w:val="14"/>
              </w:rPr>
              <w:t xml:space="preserve">Elena G. de White</w:t>
            </w:r>
            <w:r>
              <w:rPr>
                <w:rFonts w:ascii="Noto Sans" w:cs="Noto Sans" w:eastAsia="Noto Sans" w:hAnsi="Noto Sans"/>
                <w:color w:val="13176D"/>
                <w:sz w:val="15"/>
                <w:szCs w:val="15"/>
              </w:rPr>
              <w:t xml:space="preserve">  ·  En los lugares celestiales, p. 229 (Manuscrito 15, 1898)</w:t>
            </w:r>
          </w:p>
        </w:tc>
      </w:tr>
    </w:tbl>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08</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Hora de avanzar</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“Y esto, conociendo el tiempo, que es ya hora de levantarnos del sueño; porque ahora está más cerca de nosotros nuestra salvación que cuando creímos. La noche está avanzada, y se acerca el día. Desechemos, pues, las obras de las tinieblas, y vistámonos las armas de la luz. Andemos como de día, honestamente; no en glotonerías y borracheras, no en lujurias y lascivias, no en contiendas y envidia, sino vestíos del Señor Jesucristo, y no proveáis para los deseos de la carne.”</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Romanos 13:11-14</w:t>
      </w:r>
    </w:p>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Conclusión</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“No tenemos ahora tiempo que perder consultando con la carne; debemos aferrarnos del poder espiritual de Dios y realizar las reformas antes que sea para siempre demasiado tarde.”</w:t>
            </w:r>
          </w:p>
          <w:p>
            <w:r>
              <w:rPr>
                <w:rFonts w:ascii="Noto Sans" w:cs="Noto Sans" w:eastAsia="Noto Sans" w:hAnsi="Noto Sans"/>
                <w:b/>
                <w:bCs/>
                <w:caps/>
                <w:color w:val="13176D"/>
                <w:spacing w:val="30"/>
                <w:sz w:val="14"/>
                <w:szCs w:val="14"/>
              </w:rPr>
              <w:t xml:space="preserve">Elena G. de White</w:t>
            </w:r>
            <w:r>
              <w:rPr>
                <w:rFonts w:ascii="Noto Sans" w:cs="Noto Sans" w:eastAsia="Noto Sans" w:hAnsi="Noto Sans"/>
                <w:color w:val="13176D"/>
                <w:sz w:val="15"/>
                <w:szCs w:val="15"/>
              </w:rPr>
              <w:t xml:space="preserve">  ·  Alza tus ojos, p. 87 (Carta 85, 1896)</w:t>
            </w:r>
          </w:p>
        </w:tc>
      </w:tr>
    </w:tbl>
    <w:p>
      <w:pPr>
        <w:spacing w:after="160" w:line="120"/>
      </w:pP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Si bien es cierto que no puedes hacer absolutamente nada para reponer el tiempo malgastado en el pasado, ¡hay una cosa que sí puedes hacer! Y es vivir provechosamente el tiempo por venir.</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none" w:color="FFFFFF" w:sz="0"/>
              <w:bottom w:val="none" w:color="FFFFFF" w:sz="0"/>
              <w:right w:val="none" w:color="FFFFFF" w:sz="0"/>
            </w:tcBorders>
            <w:shd w:fill="13176D" w:color="auto" w:val="clear"/>
            <w:tcMar>
              <w:top w:type="dxa" w:w="300"/>
              <w:left w:type="dxa" w:w="400"/>
              <w:bottom w:type="dxa" w:w="300"/>
              <w:right w:type="dxa" w:w="400"/>
            </w:tcMar>
          </w:tcPr>
          <w:p>
            <w:pPr>
              <w:spacing w:after="140"/>
            </w:pPr>
            <w:r>
              <w:rPr>
                <w:rFonts w:ascii="Noto Sans" w:cs="Noto Sans" w:eastAsia="Noto Sans" w:hAnsi="Noto Sans"/>
                <w:b/>
                <w:bCs/>
                <w:caps/>
                <w:color w:val="FFCB24"/>
                <w:spacing w:val="30"/>
                <w:sz w:val="15"/>
                <w:szCs w:val="15"/>
              </w:rPr>
              <w:t xml:space="preserve">Llamado</w:t>
            </w:r>
          </w:p>
          <w:p>
            <w:pPr>
              <w:spacing w:after="220" w:line="348"/>
            </w:pPr>
            <w:r>
              <w:rPr>
                <w:rFonts w:ascii="Noto Sans" w:cs="Noto Sans" w:eastAsia="Noto Sans" w:hAnsi="Noto Sans"/>
                <w:color w:val="E4E6F5"/>
                <w:sz w:val="21"/>
                <w:szCs w:val="21"/>
              </w:rPr>
              <w:t xml:space="preserve">Satanás sabe que nos queda poco tiempo, y su mayor esfuerzo para este tiempo no será tanto destruirte, sino entretenerte para que no uses el precioso tiempo de gracia para hacer una preparación cabal de tu vida para la traslación a un mundo donde el tiempo será ilimitado.</w:t>
            </w:r>
          </w:p>
          <w:p>
            <w:pPr>
              <w:spacing w:line="420"/>
            </w:pPr>
            <w:r>
              <w:rPr>
                <w:rFonts w:ascii="Alegreya Sans" w:cs="Alegreya Sans" w:eastAsia="Alegreya Sans" w:hAnsi="Alegreya Sans"/>
                <w:b/>
                <w:bCs/>
                <w:color w:val="FFFFFF"/>
                <w:sz w:val="34"/>
                <w:szCs w:val="34"/>
              </w:rPr>
              <w:t xml:space="preserve">“Enséñanos de tal modo a contar nuestros días, que traigamos al corazón sabiduría.” Amén.</w:t>
            </w:r>
          </w:p>
        </w:tc>
      </w:tr>
    </w:tbl>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Textos clave para la presentación</w:t>
      </w:r>
    </w:p>
    <w:tbl>
      <w:tblPr>
        <w:tblW w:type="dxa" w:w="9411"/>
        <w:tblBorders>
          <w:top w:val="single" w:color="FFCB24" w:sz="6"/>
          <w:left w:val="none" w:color="FFFFFF" w:sz="0"/>
          <w:bottom w:val="single" w:color="DCE3EA" w:sz="4"/>
          <w:right w:val="none" w:color="FFFFFF" w:sz="0"/>
          <w:insideH w:val="single" w:color="DCE3EA" w:sz="4"/>
          <w:insideV w:val="none" w:color="FFFFFF" w:sz="0"/>
        </w:tblBorders>
        <w:tblLayout w:type="fixed"/>
      </w:tblPr>
      <w:tblGrid>
        <w:gridCol w:w="2721"/>
        <w:gridCol w:w="6690"/>
      </w:tblGrid>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Eclesiastés 3:1</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todo tiene su tiempo.</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Salmos 90:10, 12</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contar nuestros días con sabiduría.</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Santiago 4:14</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la vida es como neblina.</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Efesios 5:15-17</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aprovechar bien el tiempo.</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Salmos 39:5-6</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la brevedad de la vida.</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2 Pedro 3:9-12</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esperar y apresurar la venida del Señor.</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Romanos 13:11-14</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es ya hora de levantarnos del sueño.</w:t>
            </w:r>
          </w:p>
        </w:tc>
      </w:tr>
    </w:tbl>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Fuentes</w:t>
      </w:r>
    </w:p>
    <w:p>
      <w:pPr>
        <w:spacing w:after="80" w:line="300"/>
      </w:pPr>
      <w:r>
        <w:rPr>
          <w:rFonts w:ascii="Noto Sans" w:cs="Noto Sans" w:eastAsia="Noto Sans" w:hAnsi="Noto Sans"/>
          <w:color w:val="5A5E73"/>
          <w:sz w:val="17"/>
          <w:szCs w:val="17"/>
        </w:rPr>
        <w:t xml:space="preserve">Biblia: Reina-Valera 1960, según el texto de Bible Gateway (consultado el 19/10/2026).</w:t>
      </w:r>
    </w:p>
    <w:p>
      <w:pPr>
        <w:spacing w:after="80" w:line="300"/>
      </w:pPr>
      <w:r>
        <w:rPr>
          <w:rFonts w:ascii="Noto Sans" w:cs="Noto Sans" w:eastAsia="Noto Sans" w:hAnsi="Noto Sans"/>
          <w:color w:val="5A5E73"/>
          <w:sz w:val="17"/>
          <w:szCs w:val="17"/>
        </w:rPr>
        <w:t xml:space="preserve">Elena G. de White, En los lugares celestiales, p. 229 (ELC 229.2, lectura del 8 de agosto). Fuente original: Manuscrito 15, 1898. El texto del autor decía “se nos pedirá que demos cuenta”; aquí, la redacción publicada.</w:t>
      </w:r>
    </w:p>
    <w:p>
      <w:pPr>
        <w:spacing w:after="80" w:line="300"/>
      </w:pPr>
      <w:r>
        <w:rPr>
          <w:rFonts w:ascii="Noto Sans" w:cs="Noto Sans" w:eastAsia="Noto Sans" w:hAnsi="Noto Sans"/>
          <w:color w:val="5A5E73"/>
          <w:sz w:val="17"/>
          <w:szCs w:val="17"/>
        </w:rPr>
        <w:t xml:space="preserve">Elena G. de White, Alza tus ojos, p. 87 (ATO 87.6, lectura del 16 de marzo). Fuente original: Carta 85, 1896. La edición trae “aferramos”, error tipográfico; aquí, “aferrarnos”.</w:t>
      </w:r>
    </w:p>
    <w:p>
      <w:pPr>
        <w:spacing w:after="80" w:line="300"/>
      </w:pPr>
      <w:r>
        <w:rPr>
          <w:rFonts w:ascii="Noto Sans" w:cs="Noto Sans" w:eastAsia="Noto Sans" w:hAnsi="Noto Sans"/>
          <w:color w:val="5A5E73"/>
          <w:sz w:val="17"/>
          <w:szCs w:val="17"/>
        </w:rPr>
        <w:t xml:space="preserve">Teofrasto: paráfrase corriente de Diógenes Laercio, Vidas de los filósofos ilustres, V.40.</w:t>
      </w:r>
    </w:p>
    <w:p>
      <w:pPr>
        <w:spacing w:after="80" w:line="300"/>
      </w:pPr>
      <w:r>
        <w:rPr>
          <w:rFonts w:ascii="Noto Sans" w:cs="Noto Sans" w:eastAsia="Noto Sans" w:hAnsi="Noto Sans"/>
          <w:color w:val="5A5E73"/>
          <w:sz w:val="17"/>
          <w:szCs w:val="17"/>
        </w:rPr>
        <w:t xml:space="preserve">Datos de esperanza de vida: agencia de noticias EFE, según el autor.</w:t>
      </w:r>
    </w:p>
    <w:sectPr>
      <w:headerReference w:type="default" r:id="rId7"/>
      <w:headerReference w:type="first" r:id="rId8"/>
      <w:footerReference w:type="default" r:id="rId9"/>
      <w:footerReference w:type="first" r:id="rId10"/>
      <w:pgSz w:w="11905" w:h="16837" w:orient="portrait"/>
      <w:pgMar w:top="1360" w:right="1247" w:bottom="1133" w:left="1247" w:header="566" w:footer="566"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5A5E73"/>
        <w:sz w:val="14"/>
        <w:szCs w:val="14"/>
      </w:rPr>
      <w:t xml:space="preserve">Departamento de Mayordomía  ·  Especial de Mayordomía  ·  Sé tú una Bendición</w:t>
    </w:r>
    <w:r>
      <w:rPr>
        <w:rFonts w:ascii="Noto Sans" w:cs="Noto Sans" w:eastAsia="Noto Sans" w:hAnsi="Noto Sans"/>
        <w:sz w:val="14"/>
        <w:szCs w:val="14"/>
      </w:rPr>
      <w:t xml:space="preserve">	</w:t>
    </w:r>
    <w:r>
      <w:rPr>
        <w:rFonts w:ascii="Noto Sans" w:cs="Noto Sans" w:eastAsia="Noto Sans" w:hAnsi="Noto Sans"/>
        <w:b/>
        <w:bCs/>
        <w:color w:val="13176D"/>
        <w:sz w:val="14"/>
        <w:szCs w:val="14"/>
      </w:rPr>
      <w:fldChar w:fldCharType="begin"/>
      <w:instrText xml:space="preserve">PAGE</w:instrText>
      <w:fldChar w:fldCharType="separate"/>
      <w:fldChar w:fldCharType="end"/>
    </w:r>
    <w:r>
      <w:rPr>
        <w:rFonts w:ascii="Noto Sans" w:cs="Noto Sans" w:eastAsia="Noto Sans" w:hAnsi="Noto Sans"/>
        <w:color w:val="5A5E73"/>
        <w:sz w:val="14"/>
        <w:szCs w:val="14"/>
      </w:rPr>
      <w:t xml:space="preserve">  /  </w:t>
    </w:r>
    <w:r>
      <w:rPr>
        <w:rFonts w:ascii="Noto Sans" w:cs="Noto Sans" w:eastAsia="Noto Sans" w:hAnsi="Noto Sans"/>
        <w:color w:val="5A5E73"/>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5A5E73"/>
        <w:sz w:val="14"/>
        <w:szCs w:val="14"/>
      </w:rPr>
      <w:t xml:space="preserve">Departamento de Mayordomía  ·  Especial de Mayordomía  ·  Sé tú una Bendición</w:t>
    </w:r>
    <w:r>
      <w:rPr>
        <w:rFonts w:ascii="Noto Sans" w:cs="Noto Sans" w:eastAsia="Noto Sans" w:hAnsi="Noto Sans"/>
        <w:sz w:val="14"/>
        <w:szCs w:val="14"/>
      </w:rPr>
      <w:t xml:space="preserve">	</w:t>
    </w:r>
    <w:r>
      <w:rPr>
        <w:rFonts w:ascii="Noto Sans" w:cs="Noto Sans" w:eastAsia="Noto Sans" w:hAnsi="Noto Sans"/>
        <w:b/>
        <w:bCs/>
        <w:color w:val="13176D"/>
        <w:sz w:val="14"/>
        <w:szCs w:val="14"/>
      </w:rPr>
      <w:fldChar w:fldCharType="begin"/>
      <w:instrText xml:space="preserve">PAGE</w:instrText>
      <w:fldChar w:fldCharType="separate"/>
      <w:fldChar w:fldCharType="end"/>
    </w:r>
    <w:r>
      <w:rPr>
        <w:rFonts w:ascii="Noto Sans" w:cs="Noto Sans" w:eastAsia="Noto Sans" w:hAnsi="Noto Sans"/>
        <w:color w:val="5A5E73"/>
        <w:sz w:val="14"/>
        <w:szCs w:val="14"/>
      </w:rPr>
      <w:t xml:space="preserve">  /  </w:t>
    </w:r>
    <w:r>
      <w:rPr>
        <w:rFonts w:ascii="Noto Sans" w:cs="Noto Sans" w:eastAsia="Noto Sans" w:hAnsi="Noto Sans"/>
        <w:color w:val="5A5E73"/>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411"/>
      <w:tblBorders>
        <w:top w:val="none" w:color="FFFFFF" w:sz="0"/>
        <w:left w:val="none" w:color="FFFFFF" w:sz="0"/>
        <w:bottom w:val="single" w:color="FFCB24" w:sz="6"/>
        <w:right w:val="none" w:color="FFFFFF" w:sz="0"/>
        <w:insideH w:val="none" w:color="FFFFFF" w:sz="0"/>
        <w:insideV w:val="none" w:color="FFFFFF" w:sz="0"/>
      </w:tblBorders>
      <w:tblLayout w:type="fixed"/>
    </w:tblPr>
    <w:tblGrid>
      <w:gridCol w:w="7144"/>
      <w:gridCol w:w="2267"/>
    </w:tblGrid>
    <w:tr>
      <w:tc>
        <w:tcPr>
          <w:tcW w:type="dxa" w:w="7144"/>
          <w:tcBorders>
            <w:top w:val="none" w:color="FFFFFF" w:sz="0"/>
            <w:left w:val="none" w:color="FFFFFF" w:sz="0"/>
            <w:bottom w:val="none" w:color="FFFFFF" w:sz="0"/>
            <w:right w:val="none" w:color="FFFFFF" w:sz="0"/>
          </w:tcBorders>
          <w:tcMar>
            <w:bottom w:type="dxa" w:w="100"/>
          </w:tcMar>
          <w:vAlign w:val="center"/>
        </w:tcPr>
        <w:p>
          <w:r>
            <w:rPr>
              <w:rFonts w:ascii="Noto Sans" w:cs="Noto Sans" w:eastAsia="Noto Sans" w:hAnsi="Noto Sans"/>
              <w:b/>
              <w:bCs/>
              <w:caps/>
              <w:color w:val="13176D"/>
              <w:spacing w:val="30"/>
              <w:sz w:val="13"/>
              <w:szCs w:val="13"/>
            </w:rPr>
            <w:t xml:space="preserve">La mayordomía del tiempo</w:t>
          </w:r>
          <w:r>
            <w:rPr>
              <w:rFonts w:ascii="Noto Sans" w:cs="Noto Sans" w:eastAsia="Noto Sans" w:hAnsi="Noto Sans"/>
              <w:color w:val="5A5E73"/>
              <w:sz w:val="14"/>
              <w:szCs w:val="14"/>
            </w:rPr>
            <w:t xml:space="preserve">   ·   Todo tiene su tiempo</w:t>
          </w:r>
        </w:p>
      </w:tc>
      <w:tc>
        <w:tcPr>
          <w:tcW w:type="dxa" w:w="2267"/>
          <w:tcBorders>
            <w:top w:val="none" w:color="FFFFFF" w:sz="0"/>
            <w:left w:val="none" w:color="FFFFFF" w:sz="0"/>
            <w:bottom w:val="none" w:color="FFFFFF" w:sz="0"/>
            <w:right w:val="none" w:color="FFFFFF" w:sz="0"/>
          </w:tcBorders>
          <w:tcMar>
            <w:bottom w:type="dxa" w:w="100"/>
          </w:tcMar>
        </w:tcPr>
        <w:p>
          <w:pPr>
            <w:jc w:val="right"/>
          </w:pPr>
          <w:r>
            <w:drawing>
              <wp:inline distT="0" distB="0" distL="0" distR="0">
                <wp:extent cx="5143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14350" cy="285750"/>
                        </a:xfrm>
                        <a:prstGeom prst="rect">
                          <a:avLst/>
                        </a:prstGeom>
                      </pic:spPr>
                    </pic:pic>
                  </a:graphicData>
                </a:graphic>
              </wp:inline>
            </w:drawing>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Noto Sans" w:cs="Noto Sans" w:eastAsia="Noto Sans" w:hAnsi="Noto Sans"/>
        <w:color w:val="1E2033"/>
        <w:sz w:val="21"/>
        <w:szCs w:val="21"/>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w:cs="Noto Sans" w:eastAsia="Noto Sans" w:hAnsi="Noto Sans"/>
        <w:color w:val="1E20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33e31e8bd751a12c1a1ac1513c25f22619c6110b.png"/><Relationship Id="rId12" Type="http://schemas.openxmlformats.org/officeDocument/2006/relationships/image" Target="media/5e281517782a92615afe77d69d9e2788f6f6957d.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c61a27fbbd1c0cca5f759143ef1ba7586e2fb6e.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mayordomía del tiempo</dc:title>
  <dc:creator>Departamento de Mayordomía</dc:creator>
  <dc:description>Conferencia del Pr. Daniel Contreras · Especial de Mayordomía</dc:description>
  <cp:lastModifiedBy>Un-named</cp:lastModifiedBy>
  <cp:revision>1</cp:revision>
  <dcterms:created xsi:type="dcterms:W3CDTF">2026-10-19T01:49:20.623Z</dcterms:created>
  <dcterms:modified xsi:type="dcterms:W3CDTF">2026-10-19T01:49:20.623Z</dcterms:modified>
</cp:coreProperties>
</file>

<file path=docProps/custom.xml><?xml version="1.0" encoding="utf-8"?>
<Properties xmlns="http://schemas.openxmlformats.org/officeDocument/2006/custom-properties" xmlns:vt="http://schemas.openxmlformats.org/officeDocument/2006/docPropsVTypes"/>
</file>